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2021" w14:textId="5AD099F4" w:rsidR="007E6054" w:rsidRDefault="007E6054" w:rsidP="000D2BBC">
      <w:pPr>
        <w:spacing w:line="360" w:lineRule="auto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FAF13F0" wp14:editId="36F2D85C">
            <wp:extent cx="5274310" cy="7032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4974" w14:textId="5DBAADC4" w:rsidR="00DD7DDF" w:rsidRPr="000D2BBC" w:rsidRDefault="001B12E2" w:rsidP="000D2BBC">
      <w:pPr>
        <w:spacing w:line="360" w:lineRule="auto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proofErr w:type="spellStart"/>
      <w:r w:rsidRPr="000D2BBC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Enbedded</w:t>
      </w:r>
      <w:proofErr w:type="spellEnd"/>
      <w:r w:rsidRPr="000D2BBC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eMMC, UFS, </w:t>
      </w:r>
      <w:proofErr w:type="spellStart"/>
      <w:r w:rsidRPr="000D2BBC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eMCP</w:t>
      </w:r>
      <w:proofErr w:type="spellEnd"/>
      <w:r w:rsidRPr="000D2BBC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and PCIe-based SSD PCIe </w:t>
      </w:r>
      <w:proofErr w:type="spellStart"/>
      <w:r w:rsidRPr="000D2BBC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NVMe</w:t>
      </w:r>
      <w:proofErr w:type="spellEnd"/>
      <w:r w:rsidRPr="000D2BBC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SSD are traditionally used in industrial applications such as factory automation, medical, and transportation. These ICs design relatively new in the industrial segment and widely used today.</w:t>
      </w:r>
      <w:r w:rsidR="00D45713" w:rsidRPr="000D2BBC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In addition to having a removable M.2 form factor, the BGA form factor offers a highly ruggedized solution for industrial applications, providing up to 1TB of storage space. Systems requiring greater than 1TB can </w:t>
      </w:r>
      <w:r w:rsidR="00D45713" w:rsidRPr="000D2BBC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lastRenderedPageBreak/>
        <w:t>utilize multiples of these devices to take advantage of the 16mm x 20mm package size.</w:t>
      </w:r>
      <w:r w:rsidR="00447DBB" w:rsidRPr="000D2BBC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Automotive MCP not only need memory configurations with the right mix of density, power, performance, temperature, reliability and cost, but they also require solutions in a very small footprint. MCPs are optimal solutions for V2X communications</w:t>
      </w:r>
    </w:p>
    <w:sectPr w:rsidR="00DD7DDF" w:rsidRPr="000D2BBC" w:rsidSect="0054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F3E6" w14:textId="77777777" w:rsidR="00202BDC" w:rsidRDefault="00202BDC" w:rsidP="001B12E2">
      <w:r>
        <w:separator/>
      </w:r>
    </w:p>
  </w:endnote>
  <w:endnote w:type="continuationSeparator" w:id="0">
    <w:p w14:paraId="3C4D7D5D" w14:textId="77777777" w:rsidR="00202BDC" w:rsidRDefault="00202BDC" w:rsidP="001B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D052" w14:textId="77777777" w:rsidR="00202BDC" w:rsidRDefault="00202BDC" w:rsidP="001B12E2">
      <w:r>
        <w:separator/>
      </w:r>
    </w:p>
  </w:footnote>
  <w:footnote w:type="continuationSeparator" w:id="0">
    <w:p w14:paraId="28F5048B" w14:textId="77777777" w:rsidR="00202BDC" w:rsidRDefault="00202BDC" w:rsidP="001B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E2"/>
    <w:rsid w:val="000D2BBC"/>
    <w:rsid w:val="001B12E2"/>
    <w:rsid w:val="00202BDC"/>
    <w:rsid w:val="00447DBB"/>
    <w:rsid w:val="0054402E"/>
    <w:rsid w:val="00585CA9"/>
    <w:rsid w:val="007E6054"/>
    <w:rsid w:val="00D45713"/>
    <w:rsid w:val="00D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F8CDE"/>
  <w15:docId w15:val="{FD7025F0-1037-45BB-A6F7-09FC0237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2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2021-11-06T06:10:00Z</dcterms:created>
  <dcterms:modified xsi:type="dcterms:W3CDTF">2021-11-06T06:10:00Z</dcterms:modified>
</cp:coreProperties>
</file>